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40189" w14:textId="735C3B33" w:rsidR="00A6545D" w:rsidRDefault="00162F0E">
      <w:pPr>
        <w:rPr>
          <w:b/>
        </w:rPr>
      </w:pPr>
      <w:r w:rsidRPr="00162F0E">
        <w:rPr>
          <w:b/>
        </w:rPr>
        <w:t>Arts and Sciences Curricular “Distance Education Comp</w:t>
      </w:r>
      <w:r>
        <w:rPr>
          <w:b/>
        </w:rPr>
        <w:t>onent” Technical Review</w:t>
      </w:r>
    </w:p>
    <w:p w14:paraId="7949A518" w14:textId="77777777" w:rsidR="009B55C6" w:rsidRDefault="009B55C6">
      <w:pPr>
        <w:rPr>
          <w:b/>
        </w:rPr>
      </w:pPr>
    </w:p>
    <w:p w14:paraId="4D4173CD" w14:textId="77777777" w:rsidR="00A6545D" w:rsidRDefault="00A6545D" w:rsidP="00A6545D">
      <w:pPr>
        <w:rPr>
          <w:b/>
        </w:rPr>
      </w:pPr>
      <w:r>
        <w:rPr>
          <w:b/>
        </w:rPr>
        <w:t>Summary:</w:t>
      </w:r>
    </w:p>
    <w:p w14:paraId="4A6DD10E" w14:textId="032FF557" w:rsidR="009B55C6" w:rsidRDefault="00A6545D">
      <w:r w:rsidRPr="00A6545D">
        <w:t xml:space="preserve">The following </w:t>
      </w:r>
      <w:r w:rsidR="00162F0E">
        <w:t xml:space="preserve">checklist </w:t>
      </w:r>
      <w:r w:rsidRPr="00A6545D">
        <w:t xml:space="preserve">will be </w:t>
      </w:r>
      <w:r w:rsidR="00162F0E">
        <w:t xml:space="preserve">used by ASC Technology Services to review </w:t>
      </w:r>
      <w:r>
        <w:t xml:space="preserve">all </w:t>
      </w:r>
      <w:r w:rsidRPr="00A6545D">
        <w:t xml:space="preserve">Arts and Sciences </w:t>
      </w:r>
      <w:r w:rsidR="00162F0E">
        <w:t>curricular proposals that contain a “distance education component.”  To expedite the process, departments should be sure to include the following information with their curricular proposals that address the distance education components.</w:t>
      </w:r>
    </w:p>
    <w:p w14:paraId="19723FE3" w14:textId="77777777" w:rsidR="009B55C6" w:rsidRDefault="009B55C6"/>
    <w:p w14:paraId="4D44BD3E" w14:textId="2AD156CB" w:rsidR="00A6545D" w:rsidRDefault="00162F0E" w:rsidP="009B55C6">
      <w:pPr>
        <w:pStyle w:val="ListParagraph"/>
        <w:numPr>
          <w:ilvl w:val="0"/>
          <w:numId w:val="1"/>
        </w:numPr>
      </w:pPr>
      <w:r>
        <w:t>A description or list of the t</w:t>
      </w:r>
      <w:r w:rsidR="00A6545D">
        <w:t xml:space="preserve">echnologies, tools and media </w:t>
      </w:r>
      <w:r>
        <w:t xml:space="preserve">that will </w:t>
      </w:r>
      <w:r w:rsidR="00A6545D">
        <w:t xml:space="preserve">be used </w:t>
      </w:r>
    </w:p>
    <w:p w14:paraId="3BFB7640" w14:textId="77777777" w:rsidR="00162F0E" w:rsidRDefault="00162F0E" w:rsidP="00A6545D">
      <w:pPr>
        <w:pStyle w:val="ListParagraph"/>
        <w:numPr>
          <w:ilvl w:val="0"/>
          <w:numId w:val="1"/>
        </w:numPr>
      </w:pPr>
      <w:r>
        <w:t xml:space="preserve">A description or sketch of how students will navigate the distance education components (e.g. in Carmen or </w:t>
      </w:r>
      <w:proofErr w:type="spellStart"/>
      <w:r>
        <w:t>iTunesU</w:t>
      </w:r>
      <w:proofErr w:type="spellEnd"/>
      <w:r>
        <w:t>, etc.)</w:t>
      </w:r>
    </w:p>
    <w:p w14:paraId="50B18ECE" w14:textId="0BC50349" w:rsidR="009B55C6" w:rsidRDefault="00162F0E" w:rsidP="00162F0E">
      <w:pPr>
        <w:pStyle w:val="ListParagraph"/>
        <w:numPr>
          <w:ilvl w:val="0"/>
          <w:numId w:val="1"/>
        </w:numPr>
      </w:pPr>
      <w:r>
        <w:t>A description of h</w:t>
      </w:r>
      <w:r w:rsidR="00A6545D">
        <w:t xml:space="preserve">ow students </w:t>
      </w:r>
      <w:r>
        <w:t xml:space="preserve">will </w:t>
      </w:r>
      <w:r w:rsidR="00A6545D">
        <w:t>access the technologies, tools and media</w:t>
      </w:r>
      <w:r>
        <w:t xml:space="preserve"> (e.g. </w:t>
      </w:r>
      <w:r w:rsidR="009B55C6">
        <w:t>OSU login with web browser</w:t>
      </w:r>
      <w:r>
        <w:t xml:space="preserve">, </w:t>
      </w:r>
      <w:r w:rsidR="009B55C6">
        <w:t xml:space="preserve">iTunes U with </w:t>
      </w:r>
      <w:proofErr w:type="spellStart"/>
      <w:r w:rsidR="009B55C6">
        <w:t>iOS</w:t>
      </w:r>
      <w:proofErr w:type="spellEnd"/>
      <w:r w:rsidR="009B55C6">
        <w:t xml:space="preserve"> device</w:t>
      </w:r>
      <w:r>
        <w:t>, student’s own account with online polling service, etc.)</w:t>
      </w:r>
    </w:p>
    <w:p w14:paraId="1EDB222D" w14:textId="61832066" w:rsidR="009B55C6" w:rsidRDefault="00162F0E" w:rsidP="009B55C6">
      <w:pPr>
        <w:pStyle w:val="ListParagraph"/>
        <w:numPr>
          <w:ilvl w:val="1"/>
          <w:numId w:val="1"/>
        </w:numPr>
      </w:pPr>
      <w:r>
        <w:t>A budget showing both startup and ongoing costs required to support the distance education components (e.g., la</w:t>
      </w:r>
      <w:r w:rsidR="009B55C6">
        <w:t>bo</w:t>
      </w:r>
      <w:r>
        <w:t>r to create/update custom technologies, tools and media, software licenses, etc.)</w:t>
      </w:r>
    </w:p>
    <w:p w14:paraId="5688E624" w14:textId="0AA6C0A0" w:rsidR="004565AC" w:rsidRDefault="00162F0E" w:rsidP="004565AC">
      <w:pPr>
        <w:pStyle w:val="ListParagraph"/>
        <w:numPr>
          <w:ilvl w:val="0"/>
          <w:numId w:val="1"/>
        </w:numPr>
      </w:pPr>
      <w:r>
        <w:t xml:space="preserve">An overview of how the </w:t>
      </w:r>
      <w:r w:rsidR="004565AC">
        <w:t>technologies, tools and media</w:t>
      </w:r>
      <w:r>
        <w:t xml:space="preserve"> will be evaluated and modified for future versions of the course (technical/logistical evaluation) </w:t>
      </w:r>
    </w:p>
    <w:p w14:paraId="5060727F" w14:textId="77777777" w:rsidR="009B55C6" w:rsidRPr="00A6545D" w:rsidRDefault="009B55C6" w:rsidP="009B55C6">
      <w:pPr>
        <w:ind w:left="1080"/>
      </w:pPr>
    </w:p>
    <w:p w14:paraId="32EDB826" w14:textId="23BD0881" w:rsidR="009016D3" w:rsidRDefault="00162F0E">
      <w:pPr>
        <w:rPr>
          <w:b/>
        </w:rPr>
      </w:pPr>
      <w:r>
        <w:rPr>
          <w:b/>
        </w:rPr>
        <w:t>Questions:</w:t>
      </w:r>
    </w:p>
    <w:p w14:paraId="3A387A6A" w14:textId="2E9921B5" w:rsidR="00162F0E" w:rsidRPr="00162F0E" w:rsidRDefault="00162F0E">
      <w:r w:rsidRPr="00162F0E">
        <w:t>Any questions about this checklist should be directed to Mike Kaylor, Director for Instructional Facilities and Services, kaylor.2@osu.edu.</w:t>
      </w:r>
    </w:p>
    <w:p w14:paraId="64BE60CB" w14:textId="77777777" w:rsidR="009016D3" w:rsidRDefault="009016D3">
      <w:pPr>
        <w:rPr>
          <w:b/>
        </w:rPr>
      </w:pPr>
    </w:p>
    <w:p w14:paraId="76944786" w14:textId="77777777" w:rsidR="009016D3" w:rsidRDefault="009016D3">
      <w:pPr>
        <w:rPr>
          <w:b/>
        </w:rPr>
      </w:pPr>
    </w:p>
    <w:p w14:paraId="3188E295" w14:textId="77777777" w:rsidR="009016D3" w:rsidRDefault="009016D3">
      <w:pPr>
        <w:rPr>
          <w:b/>
        </w:rPr>
      </w:pPr>
    </w:p>
    <w:p w14:paraId="6B692E31" w14:textId="77777777" w:rsidR="009016D3" w:rsidRDefault="009016D3">
      <w:pPr>
        <w:rPr>
          <w:b/>
        </w:rPr>
      </w:pPr>
    </w:p>
    <w:p w14:paraId="3D1DF341" w14:textId="77777777" w:rsidR="009016D3" w:rsidRDefault="009016D3">
      <w:pPr>
        <w:rPr>
          <w:b/>
        </w:rPr>
      </w:pPr>
    </w:p>
    <w:p w14:paraId="4109DC5B" w14:textId="77777777" w:rsidR="009016D3" w:rsidRDefault="009016D3">
      <w:pPr>
        <w:rPr>
          <w:b/>
        </w:rPr>
      </w:pPr>
    </w:p>
    <w:p w14:paraId="32575D6F" w14:textId="77777777" w:rsidR="009016D3" w:rsidRDefault="009016D3">
      <w:pPr>
        <w:rPr>
          <w:b/>
        </w:rPr>
      </w:pPr>
    </w:p>
    <w:p w14:paraId="620C2B46" w14:textId="77777777" w:rsidR="00162F0E" w:rsidRDefault="00162F0E">
      <w:pPr>
        <w:rPr>
          <w:b/>
        </w:rPr>
      </w:pPr>
      <w:r>
        <w:rPr>
          <w:b/>
        </w:rPr>
        <w:br w:type="page"/>
      </w:r>
    </w:p>
    <w:p w14:paraId="4FB0B8B5" w14:textId="59C12743" w:rsidR="00514D4F" w:rsidRDefault="001A060A">
      <w:pPr>
        <w:rPr>
          <w:b/>
        </w:rPr>
      </w:pPr>
      <w:r w:rsidRPr="001A060A">
        <w:rPr>
          <w:b/>
        </w:rPr>
        <w:lastRenderedPageBreak/>
        <w:t>Arts and Science</w:t>
      </w:r>
      <w:r w:rsidR="009016D3">
        <w:rPr>
          <w:b/>
        </w:rPr>
        <w:t xml:space="preserve">s Distance Education </w:t>
      </w:r>
      <w:r w:rsidR="00814385">
        <w:rPr>
          <w:b/>
        </w:rPr>
        <w:t xml:space="preserve">Online Course </w:t>
      </w:r>
      <w:r w:rsidR="009016D3">
        <w:rPr>
          <w:b/>
        </w:rPr>
        <w:t xml:space="preserve">Component </w:t>
      </w:r>
      <w:r w:rsidR="00162F0E">
        <w:rPr>
          <w:b/>
        </w:rPr>
        <w:t>Technical Review</w:t>
      </w:r>
      <w:r w:rsidR="00162F0E" w:rsidRPr="001A060A">
        <w:rPr>
          <w:b/>
        </w:rPr>
        <w:t xml:space="preserve"> </w:t>
      </w:r>
      <w:r w:rsidRPr="001A060A">
        <w:rPr>
          <w:b/>
        </w:rPr>
        <w:t xml:space="preserve">Checklist </w:t>
      </w:r>
    </w:p>
    <w:p w14:paraId="67F7BCF3" w14:textId="77777777" w:rsidR="00B13A36" w:rsidRDefault="00B13A36">
      <w:pPr>
        <w:rPr>
          <w:b/>
        </w:rPr>
      </w:pPr>
    </w:p>
    <w:p w14:paraId="347D0C65" w14:textId="77777777" w:rsidR="00B13A36" w:rsidRDefault="00B13A36" w:rsidP="00B13A36">
      <w:pPr>
        <w:rPr>
          <w:b/>
        </w:rPr>
      </w:pPr>
      <w:r>
        <w:rPr>
          <w:b/>
        </w:rPr>
        <w:t>Summary:</w:t>
      </w:r>
    </w:p>
    <w:p w14:paraId="3C514799" w14:textId="223FC191" w:rsidR="00B13A36" w:rsidRDefault="00162F0E" w:rsidP="00B13A36">
      <w:r>
        <w:t xml:space="preserve">This form is to be completed by Diane </w:t>
      </w:r>
      <w:proofErr w:type="spellStart"/>
      <w:r>
        <w:t>Dagefoerde</w:t>
      </w:r>
      <w:proofErr w:type="spellEnd"/>
      <w:r>
        <w:t xml:space="preserve"> and Mike Kaylor from ASC Technology Services in order to evaluate the technical aspects of any curricular proposal that includes a “distance education component.”  </w:t>
      </w:r>
      <w:proofErr w:type="gramStart"/>
      <w:r>
        <w:t>Once completed it will be returned to the appropriate ASC Divisional Curricular Associate/Assistant Dean.</w:t>
      </w:r>
      <w:proofErr w:type="gramEnd"/>
      <w:r>
        <w:t xml:space="preserve">  This rubric is based on the “Course Technology” and “Learner Support” parts of the Quality Matters Program.</w:t>
      </w:r>
      <w:r>
        <w:rPr>
          <w:rStyle w:val="FootnoteReference"/>
        </w:rPr>
        <w:footnoteReference w:id="1"/>
      </w:r>
    </w:p>
    <w:p w14:paraId="1AA7DAAE" w14:textId="77777777" w:rsidR="00B13A36" w:rsidRDefault="00B13A36">
      <w:pPr>
        <w:rPr>
          <w:b/>
        </w:rPr>
      </w:pPr>
    </w:p>
    <w:p w14:paraId="49AAE8E5" w14:textId="77777777" w:rsidR="00DA4BAA" w:rsidRDefault="00DA4BAA">
      <w:pPr>
        <w:rPr>
          <w:b/>
        </w:rPr>
      </w:pPr>
    </w:p>
    <w:p w14:paraId="19A2F937" w14:textId="70BC1516" w:rsidR="00DA4BAA" w:rsidRDefault="00DA4BAA">
      <w:pPr>
        <w:rPr>
          <w:b/>
        </w:rPr>
      </w:pPr>
      <w:r>
        <w:rPr>
          <w:b/>
        </w:rPr>
        <w:t>COURSE TECHNOLOGY</w:t>
      </w:r>
    </w:p>
    <w:p w14:paraId="31FA7020" w14:textId="77777777" w:rsidR="001A060A" w:rsidRDefault="001A060A" w:rsidP="001A060A"/>
    <w:tbl>
      <w:tblPr>
        <w:tblStyle w:val="TableGrid"/>
        <w:tblW w:w="17208" w:type="dxa"/>
        <w:tblLayout w:type="fixed"/>
        <w:tblLook w:val="04A0" w:firstRow="1" w:lastRow="0" w:firstColumn="1" w:lastColumn="0" w:noHBand="0" w:noVBand="1"/>
      </w:tblPr>
      <w:tblGrid>
        <w:gridCol w:w="4698"/>
        <w:gridCol w:w="1109"/>
        <w:gridCol w:w="1260"/>
        <w:gridCol w:w="1327"/>
        <w:gridCol w:w="8814"/>
      </w:tblGrid>
      <w:tr w:rsidR="001A060A" w14:paraId="12B26043" w14:textId="77777777" w:rsidTr="00162F0E">
        <w:tc>
          <w:tcPr>
            <w:tcW w:w="4698" w:type="dxa"/>
            <w:shd w:val="clear" w:color="auto" w:fill="CCCCCC"/>
          </w:tcPr>
          <w:p w14:paraId="6FAC59F5" w14:textId="77777777" w:rsidR="001A060A" w:rsidRPr="00162F0E" w:rsidRDefault="001A060A" w:rsidP="00162F0E">
            <w:pPr>
              <w:jc w:val="center"/>
              <w:rPr>
                <w:b/>
              </w:rPr>
            </w:pPr>
            <w:r w:rsidRPr="00162F0E">
              <w:rPr>
                <w:b/>
              </w:rPr>
              <w:t>Standard</w:t>
            </w:r>
          </w:p>
        </w:tc>
        <w:tc>
          <w:tcPr>
            <w:tcW w:w="1109" w:type="dxa"/>
            <w:shd w:val="clear" w:color="auto" w:fill="CCCCCC"/>
          </w:tcPr>
          <w:p w14:paraId="42040025" w14:textId="77777777" w:rsidR="001A060A" w:rsidRPr="001A060A" w:rsidRDefault="001A060A" w:rsidP="00162F0E">
            <w:pPr>
              <w:jc w:val="center"/>
              <w:rPr>
                <w:b/>
              </w:rPr>
            </w:pPr>
            <w:r>
              <w:rPr>
                <w:b/>
              </w:rPr>
              <w:t>Yes</w:t>
            </w:r>
          </w:p>
        </w:tc>
        <w:tc>
          <w:tcPr>
            <w:tcW w:w="1260" w:type="dxa"/>
            <w:shd w:val="clear" w:color="auto" w:fill="CCCCCC"/>
          </w:tcPr>
          <w:p w14:paraId="2E8653E6" w14:textId="77777777" w:rsidR="001A060A" w:rsidRDefault="001A060A" w:rsidP="00162F0E">
            <w:pPr>
              <w:jc w:val="center"/>
              <w:rPr>
                <w:b/>
              </w:rPr>
            </w:pPr>
            <w:r>
              <w:rPr>
                <w:b/>
              </w:rPr>
              <w:t>Yes</w:t>
            </w:r>
          </w:p>
          <w:p w14:paraId="724D6AD4" w14:textId="77777777" w:rsidR="001A060A" w:rsidRPr="001A060A" w:rsidRDefault="001A060A" w:rsidP="00162F0E">
            <w:pPr>
              <w:jc w:val="center"/>
              <w:rPr>
                <w:b/>
              </w:rPr>
            </w:pPr>
            <w:r w:rsidRPr="00162F0E">
              <w:rPr>
                <w:b/>
                <w:sz w:val="22"/>
              </w:rPr>
              <w:t>with Revisions</w:t>
            </w:r>
          </w:p>
        </w:tc>
        <w:tc>
          <w:tcPr>
            <w:tcW w:w="1327" w:type="dxa"/>
            <w:shd w:val="clear" w:color="auto" w:fill="CCCCCC"/>
          </w:tcPr>
          <w:p w14:paraId="1F0843C6" w14:textId="07D8C451" w:rsidR="001A060A" w:rsidRDefault="001A060A" w:rsidP="00162F0E">
            <w:pPr>
              <w:jc w:val="center"/>
              <w:rPr>
                <w:b/>
              </w:rPr>
            </w:pPr>
            <w:r>
              <w:rPr>
                <w:b/>
              </w:rPr>
              <w:t>No</w:t>
            </w:r>
          </w:p>
          <w:p w14:paraId="1B1CC70B" w14:textId="02F18DC7" w:rsidR="001A060A" w:rsidRPr="001A060A" w:rsidRDefault="001A060A" w:rsidP="00162F0E">
            <w:pPr>
              <w:jc w:val="center"/>
              <w:rPr>
                <w:b/>
              </w:rPr>
            </w:pPr>
          </w:p>
        </w:tc>
        <w:tc>
          <w:tcPr>
            <w:tcW w:w="8814" w:type="dxa"/>
            <w:shd w:val="clear" w:color="auto" w:fill="CCCCCC"/>
          </w:tcPr>
          <w:p w14:paraId="3A0CA8BE" w14:textId="54BC7A28" w:rsidR="001A060A" w:rsidRPr="001A060A" w:rsidRDefault="001A060A" w:rsidP="00162F0E">
            <w:pPr>
              <w:jc w:val="center"/>
              <w:rPr>
                <w:b/>
              </w:rPr>
            </w:pPr>
            <w:r>
              <w:rPr>
                <w:b/>
              </w:rPr>
              <w:t>Feedback</w:t>
            </w:r>
            <w:r w:rsidR="008E2DAC">
              <w:rPr>
                <w:b/>
              </w:rPr>
              <w:t>/Recommendations</w:t>
            </w:r>
          </w:p>
        </w:tc>
      </w:tr>
      <w:tr w:rsidR="001A060A" w14:paraId="57B882F3" w14:textId="77777777" w:rsidTr="00162F0E">
        <w:tc>
          <w:tcPr>
            <w:tcW w:w="4698" w:type="dxa"/>
          </w:tcPr>
          <w:p w14:paraId="261D6CD8" w14:textId="42DB1978" w:rsidR="00A93AEF" w:rsidRPr="00162F0E" w:rsidRDefault="00A93AEF" w:rsidP="00162F0E">
            <w:pPr>
              <w:pStyle w:val="ListParagraph"/>
              <w:numPr>
                <w:ilvl w:val="0"/>
                <w:numId w:val="3"/>
              </w:numPr>
              <w:rPr>
                <w:sz w:val="20"/>
                <w:szCs w:val="20"/>
              </w:rPr>
            </w:pPr>
            <w:r w:rsidRPr="00162F0E">
              <w:rPr>
                <w:sz w:val="20"/>
                <w:szCs w:val="20"/>
              </w:rPr>
              <w:t>The tools and media support the course learning objectives.</w:t>
            </w:r>
          </w:p>
          <w:p w14:paraId="602398A5" w14:textId="77777777" w:rsidR="001A060A" w:rsidRDefault="001A060A" w:rsidP="001A060A"/>
        </w:tc>
        <w:tc>
          <w:tcPr>
            <w:tcW w:w="1109" w:type="dxa"/>
          </w:tcPr>
          <w:p w14:paraId="50A3D585" w14:textId="77777777" w:rsidR="001A060A" w:rsidRDefault="001A060A" w:rsidP="001A060A"/>
        </w:tc>
        <w:tc>
          <w:tcPr>
            <w:tcW w:w="1260" w:type="dxa"/>
          </w:tcPr>
          <w:p w14:paraId="38433884" w14:textId="77777777" w:rsidR="001A060A" w:rsidRDefault="001A060A" w:rsidP="001A060A"/>
        </w:tc>
        <w:tc>
          <w:tcPr>
            <w:tcW w:w="1327" w:type="dxa"/>
          </w:tcPr>
          <w:p w14:paraId="05DBFAB2" w14:textId="77777777" w:rsidR="001A060A" w:rsidRDefault="001A060A" w:rsidP="001A060A"/>
        </w:tc>
        <w:tc>
          <w:tcPr>
            <w:tcW w:w="8814" w:type="dxa"/>
          </w:tcPr>
          <w:p w14:paraId="632D30DD" w14:textId="77777777" w:rsidR="001A060A" w:rsidRDefault="001A060A" w:rsidP="001A060A"/>
        </w:tc>
      </w:tr>
      <w:tr w:rsidR="001A060A" w14:paraId="4913EAAA" w14:textId="77777777" w:rsidTr="00162F0E">
        <w:tc>
          <w:tcPr>
            <w:tcW w:w="4698" w:type="dxa"/>
          </w:tcPr>
          <w:p w14:paraId="503AD787" w14:textId="77777777" w:rsidR="001A060A" w:rsidRDefault="00162F0E" w:rsidP="00162F0E">
            <w:pPr>
              <w:pStyle w:val="ListParagraph"/>
              <w:numPr>
                <w:ilvl w:val="0"/>
                <w:numId w:val="3"/>
              </w:numPr>
              <w:rPr>
                <w:sz w:val="20"/>
                <w:szCs w:val="20"/>
              </w:rPr>
            </w:pPr>
            <w:r>
              <w:rPr>
                <w:sz w:val="20"/>
                <w:szCs w:val="20"/>
              </w:rPr>
              <w:t>C</w:t>
            </w:r>
            <w:r w:rsidR="00E469B3" w:rsidRPr="00162F0E">
              <w:rPr>
                <w:sz w:val="20"/>
                <w:szCs w:val="20"/>
              </w:rPr>
              <w:t>ourse tools and media support student engagement and guide the student to become an active learner.</w:t>
            </w:r>
          </w:p>
          <w:p w14:paraId="5C8476FF" w14:textId="55DB7E6D" w:rsidR="00162F0E" w:rsidRPr="00162F0E" w:rsidRDefault="00162F0E" w:rsidP="00162F0E">
            <w:pPr>
              <w:pStyle w:val="ListParagraph"/>
              <w:rPr>
                <w:sz w:val="20"/>
                <w:szCs w:val="20"/>
              </w:rPr>
            </w:pPr>
            <w:bookmarkStart w:id="0" w:name="_GoBack"/>
            <w:bookmarkEnd w:id="0"/>
          </w:p>
        </w:tc>
        <w:tc>
          <w:tcPr>
            <w:tcW w:w="1109" w:type="dxa"/>
          </w:tcPr>
          <w:p w14:paraId="60D602DB" w14:textId="77777777" w:rsidR="001A060A" w:rsidRDefault="001A060A" w:rsidP="001A060A"/>
        </w:tc>
        <w:tc>
          <w:tcPr>
            <w:tcW w:w="1260" w:type="dxa"/>
          </w:tcPr>
          <w:p w14:paraId="0D386CD2" w14:textId="77777777" w:rsidR="001A060A" w:rsidRDefault="001A060A" w:rsidP="001A060A"/>
        </w:tc>
        <w:tc>
          <w:tcPr>
            <w:tcW w:w="1327" w:type="dxa"/>
          </w:tcPr>
          <w:p w14:paraId="48B35EEC" w14:textId="77777777" w:rsidR="001A060A" w:rsidRDefault="001A060A" w:rsidP="001A060A"/>
        </w:tc>
        <w:tc>
          <w:tcPr>
            <w:tcW w:w="8814" w:type="dxa"/>
          </w:tcPr>
          <w:p w14:paraId="244D6B23" w14:textId="77777777" w:rsidR="001A060A" w:rsidRDefault="001A060A" w:rsidP="001A060A"/>
        </w:tc>
      </w:tr>
      <w:tr w:rsidR="001A060A" w14:paraId="1ABE7A8C" w14:textId="77777777" w:rsidTr="00162F0E">
        <w:tc>
          <w:tcPr>
            <w:tcW w:w="4698" w:type="dxa"/>
          </w:tcPr>
          <w:p w14:paraId="6649F546" w14:textId="3A534473" w:rsidR="00E469B3" w:rsidRPr="00162F0E" w:rsidRDefault="00E469B3" w:rsidP="00162F0E">
            <w:pPr>
              <w:pStyle w:val="ListParagraph"/>
              <w:numPr>
                <w:ilvl w:val="0"/>
                <w:numId w:val="3"/>
              </w:numPr>
              <w:rPr>
                <w:sz w:val="20"/>
                <w:szCs w:val="20"/>
              </w:rPr>
            </w:pPr>
            <w:r w:rsidRPr="00162F0E">
              <w:rPr>
                <w:sz w:val="20"/>
                <w:szCs w:val="20"/>
              </w:rPr>
              <w:t>Navigation throughout the online components of the course is logical, consistent, and efficient.</w:t>
            </w:r>
          </w:p>
          <w:p w14:paraId="1C1E6A81" w14:textId="77777777" w:rsidR="001A060A" w:rsidRDefault="001A060A" w:rsidP="001A060A"/>
        </w:tc>
        <w:tc>
          <w:tcPr>
            <w:tcW w:w="1109" w:type="dxa"/>
          </w:tcPr>
          <w:p w14:paraId="55E89C2C" w14:textId="77777777" w:rsidR="001A060A" w:rsidRDefault="001A060A" w:rsidP="001A060A"/>
        </w:tc>
        <w:tc>
          <w:tcPr>
            <w:tcW w:w="1260" w:type="dxa"/>
          </w:tcPr>
          <w:p w14:paraId="57BC1E7F" w14:textId="77777777" w:rsidR="001A060A" w:rsidRDefault="001A060A" w:rsidP="001A060A"/>
        </w:tc>
        <w:tc>
          <w:tcPr>
            <w:tcW w:w="1327" w:type="dxa"/>
          </w:tcPr>
          <w:p w14:paraId="66EAD828" w14:textId="77777777" w:rsidR="001A060A" w:rsidRDefault="001A060A" w:rsidP="001A060A"/>
        </w:tc>
        <w:tc>
          <w:tcPr>
            <w:tcW w:w="8814" w:type="dxa"/>
          </w:tcPr>
          <w:p w14:paraId="5A73778E" w14:textId="77777777" w:rsidR="001A060A" w:rsidRDefault="001A060A" w:rsidP="001A060A"/>
        </w:tc>
      </w:tr>
      <w:tr w:rsidR="001A060A" w14:paraId="1AB95CFC" w14:textId="77777777" w:rsidTr="00162F0E">
        <w:tc>
          <w:tcPr>
            <w:tcW w:w="4698" w:type="dxa"/>
          </w:tcPr>
          <w:p w14:paraId="1EDB5BD4" w14:textId="6B97C815" w:rsidR="00E469B3" w:rsidRPr="00162F0E" w:rsidRDefault="00E469B3" w:rsidP="00162F0E">
            <w:pPr>
              <w:pStyle w:val="ListParagraph"/>
              <w:numPr>
                <w:ilvl w:val="0"/>
                <w:numId w:val="3"/>
              </w:numPr>
              <w:rPr>
                <w:sz w:val="20"/>
                <w:szCs w:val="20"/>
              </w:rPr>
            </w:pPr>
            <w:r w:rsidRPr="00162F0E">
              <w:rPr>
                <w:sz w:val="20"/>
                <w:szCs w:val="20"/>
              </w:rPr>
              <w:t>Students can readily access the technologies required in the course.</w:t>
            </w:r>
          </w:p>
          <w:p w14:paraId="18701F49" w14:textId="77777777" w:rsidR="001A060A" w:rsidRDefault="001A060A" w:rsidP="001A060A"/>
        </w:tc>
        <w:tc>
          <w:tcPr>
            <w:tcW w:w="1109" w:type="dxa"/>
          </w:tcPr>
          <w:p w14:paraId="206CDF81" w14:textId="77777777" w:rsidR="001A060A" w:rsidRDefault="001A060A" w:rsidP="001A060A"/>
        </w:tc>
        <w:tc>
          <w:tcPr>
            <w:tcW w:w="1260" w:type="dxa"/>
          </w:tcPr>
          <w:p w14:paraId="0BC7233F" w14:textId="77777777" w:rsidR="001A060A" w:rsidRDefault="001A060A" w:rsidP="001A060A"/>
        </w:tc>
        <w:tc>
          <w:tcPr>
            <w:tcW w:w="1327" w:type="dxa"/>
          </w:tcPr>
          <w:p w14:paraId="719FD105" w14:textId="77777777" w:rsidR="001A060A" w:rsidRDefault="001A060A" w:rsidP="001A060A"/>
        </w:tc>
        <w:tc>
          <w:tcPr>
            <w:tcW w:w="8814" w:type="dxa"/>
          </w:tcPr>
          <w:p w14:paraId="1B22A24E" w14:textId="77777777" w:rsidR="001A060A" w:rsidRDefault="001A060A" w:rsidP="001A060A"/>
        </w:tc>
      </w:tr>
      <w:tr w:rsidR="00E469B3" w14:paraId="28EB51D0" w14:textId="77777777" w:rsidTr="00162F0E">
        <w:trPr>
          <w:trHeight w:val="230"/>
        </w:trPr>
        <w:tc>
          <w:tcPr>
            <w:tcW w:w="4698" w:type="dxa"/>
          </w:tcPr>
          <w:p w14:paraId="33D43967" w14:textId="3BF6FF98" w:rsidR="00E469B3" w:rsidRPr="00162F0E" w:rsidRDefault="00E469B3" w:rsidP="00162F0E">
            <w:pPr>
              <w:pStyle w:val="ListParagraph"/>
              <w:numPr>
                <w:ilvl w:val="0"/>
                <w:numId w:val="3"/>
              </w:numPr>
              <w:rPr>
                <w:sz w:val="20"/>
                <w:szCs w:val="20"/>
              </w:rPr>
            </w:pPr>
            <w:r w:rsidRPr="00162F0E">
              <w:rPr>
                <w:sz w:val="20"/>
                <w:szCs w:val="20"/>
              </w:rPr>
              <w:t>The course technologies are current.</w:t>
            </w:r>
          </w:p>
          <w:p w14:paraId="5430F06F" w14:textId="24F6C4A8" w:rsidR="00E469B3" w:rsidRDefault="00E469B3" w:rsidP="001A060A"/>
        </w:tc>
        <w:tc>
          <w:tcPr>
            <w:tcW w:w="1109" w:type="dxa"/>
          </w:tcPr>
          <w:p w14:paraId="7484B7B3" w14:textId="77777777" w:rsidR="00E469B3" w:rsidRDefault="00E469B3" w:rsidP="001A060A"/>
        </w:tc>
        <w:tc>
          <w:tcPr>
            <w:tcW w:w="1260" w:type="dxa"/>
          </w:tcPr>
          <w:p w14:paraId="22884504" w14:textId="77777777" w:rsidR="00E469B3" w:rsidRDefault="00E469B3" w:rsidP="001A060A"/>
        </w:tc>
        <w:tc>
          <w:tcPr>
            <w:tcW w:w="1327" w:type="dxa"/>
          </w:tcPr>
          <w:p w14:paraId="60CC6F03" w14:textId="77777777" w:rsidR="00E469B3" w:rsidRDefault="00E469B3" w:rsidP="001A060A"/>
        </w:tc>
        <w:tc>
          <w:tcPr>
            <w:tcW w:w="8814" w:type="dxa"/>
          </w:tcPr>
          <w:p w14:paraId="1DCBA7A6" w14:textId="77777777" w:rsidR="00E469B3" w:rsidRDefault="00E469B3" w:rsidP="001A060A"/>
        </w:tc>
      </w:tr>
      <w:tr w:rsidR="00E469B3" w14:paraId="7A281AE4" w14:textId="77777777" w:rsidTr="00162F0E">
        <w:trPr>
          <w:trHeight w:val="230"/>
        </w:trPr>
        <w:tc>
          <w:tcPr>
            <w:tcW w:w="4698" w:type="dxa"/>
          </w:tcPr>
          <w:p w14:paraId="237E000A" w14:textId="0C66DEC1" w:rsidR="00E469B3" w:rsidRPr="00162F0E" w:rsidRDefault="00E469B3" w:rsidP="00162F0E">
            <w:pPr>
              <w:pStyle w:val="ListParagraph"/>
              <w:numPr>
                <w:ilvl w:val="0"/>
                <w:numId w:val="3"/>
              </w:numPr>
              <w:rPr>
                <w:rFonts w:cs="Calibri"/>
                <w:sz w:val="20"/>
                <w:szCs w:val="20"/>
              </w:rPr>
            </w:pPr>
            <w:r w:rsidRPr="00162F0E">
              <w:rPr>
                <w:rFonts w:cs="Calibri"/>
                <w:sz w:val="20"/>
                <w:szCs w:val="20"/>
              </w:rPr>
              <w:lastRenderedPageBreak/>
              <w:t>Funding and support for the course technologies are sustainable for future sections of the course.</w:t>
            </w:r>
          </w:p>
          <w:p w14:paraId="4790C06F" w14:textId="0CD35C06" w:rsidR="00E469B3" w:rsidRPr="00FB0A37" w:rsidRDefault="00E469B3" w:rsidP="001A060A">
            <w:pPr>
              <w:rPr>
                <w:sz w:val="20"/>
                <w:szCs w:val="20"/>
              </w:rPr>
            </w:pPr>
          </w:p>
        </w:tc>
        <w:tc>
          <w:tcPr>
            <w:tcW w:w="1109" w:type="dxa"/>
          </w:tcPr>
          <w:p w14:paraId="17334B60" w14:textId="77777777" w:rsidR="00E469B3" w:rsidRDefault="00E469B3" w:rsidP="001A060A"/>
        </w:tc>
        <w:tc>
          <w:tcPr>
            <w:tcW w:w="1260" w:type="dxa"/>
          </w:tcPr>
          <w:p w14:paraId="25DF6EAE" w14:textId="77777777" w:rsidR="00E469B3" w:rsidRDefault="00E469B3" w:rsidP="001A060A"/>
        </w:tc>
        <w:tc>
          <w:tcPr>
            <w:tcW w:w="1327" w:type="dxa"/>
          </w:tcPr>
          <w:p w14:paraId="07A5C3A9" w14:textId="77777777" w:rsidR="00E469B3" w:rsidRDefault="00E469B3" w:rsidP="001A060A"/>
        </w:tc>
        <w:tc>
          <w:tcPr>
            <w:tcW w:w="8814" w:type="dxa"/>
          </w:tcPr>
          <w:p w14:paraId="7D4FD194" w14:textId="77777777" w:rsidR="00E469B3" w:rsidRDefault="00E469B3" w:rsidP="001A060A"/>
        </w:tc>
      </w:tr>
      <w:tr w:rsidR="00162F0E" w14:paraId="7C24A320" w14:textId="77777777" w:rsidTr="00162F0E">
        <w:tc>
          <w:tcPr>
            <w:tcW w:w="4698" w:type="dxa"/>
          </w:tcPr>
          <w:p w14:paraId="2492EF59" w14:textId="40C2DEEA" w:rsidR="00162F0E" w:rsidRDefault="00162F0E" w:rsidP="00162F0E">
            <w:pPr>
              <w:pStyle w:val="ListParagraph"/>
              <w:numPr>
                <w:ilvl w:val="0"/>
                <w:numId w:val="3"/>
              </w:numPr>
              <w:rPr>
                <w:sz w:val="20"/>
                <w:szCs w:val="20"/>
              </w:rPr>
            </w:pPr>
            <w:r>
              <w:rPr>
                <w:sz w:val="20"/>
                <w:szCs w:val="20"/>
              </w:rPr>
              <w:t>The course technologies, tools and media will be evaluated and updated as underlying technologies, platforms and approaches change.</w:t>
            </w:r>
          </w:p>
          <w:p w14:paraId="6B14FD01" w14:textId="77777777" w:rsidR="00162F0E" w:rsidRPr="00162F0E" w:rsidRDefault="00162F0E" w:rsidP="00162F0E">
            <w:pPr>
              <w:pStyle w:val="ListParagraph"/>
              <w:rPr>
                <w:sz w:val="20"/>
                <w:szCs w:val="20"/>
              </w:rPr>
            </w:pPr>
          </w:p>
        </w:tc>
        <w:tc>
          <w:tcPr>
            <w:tcW w:w="1109" w:type="dxa"/>
          </w:tcPr>
          <w:p w14:paraId="1F3AFAAA" w14:textId="77777777" w:rsidR="00162F0E" w:rsidRDefault="00162F0E" w:rsidP="00B13A36"/>
        </w:tc>
        <w:tc>
          <w:tcPr>
            <w:tcW w:w="1260" w:type="dxa"/>
          </w:tcPr>
          <w:p w14:paraId="34AF036E" w14:textId="77777777" w:rsidR="00162F0E" w:rsidRDefault="00162F0E" w:rsidP="00B13A36"/>
        </w:tc>
        <w:tc>
          <w:tcPr>
            <w:tcW w:w="1327" w:type="dxa"/>
          </w:tcPr>
          <w:p w14:paraId="39236B3A" w14:textId="77777777" w:rsidR="00162F0E" w:rsidRDefault="00162F0E" w:rsidP="00B13A36"/>
        </w:tc>
        <w:tc>
          <w:tcPr>
            <w:tcW w:w="8814" w:type="dxa"/>
          </w:tcPr>
          <w:p w14:paraId="1ED568DD" w14:textId="77777777" w:rsidR="00162F0E" w:rsidRDefault="00162F0E" w:rsidP="00B13A36"/>
        </w:tc>
      </w:tr>
      <w:tr w:rsidR="00AA0E2A" w14:paraId="0D55C510" w14:textId="77777777" w:rsidTr="00162F0E">
        <w:tc>
          <w:tcPr>
            <w:tcW w:w="4698" w:type="dxa"/>
          </w:tcPr>
          <w:p w14:paraId="76C99F28" w14:textId="76AC0D5A" w:rsidR="00AA0E2A" w:rsidRPr="00162F0E" w:rsidRDefault="00AA0E2A" w:rsidP="00162F0E">
            <w:pPr>
              <w:pStyle w:val="ListParagraph"/>
              <w:numPr>
                <w:ilvl w:val="0"/>
                <w:numId w:val="3"/>
              </w:numPr>
              <w:rPr>
                <w:sz w:val="20"/>
                <w:szCs w:val="20"/>
              </w:rPr>
            </w:pPr>
            <w:r w:rsidRPr="00162F0E">
              <w:rPr>
                <w:sz w:val="20"/>
                <w:szCs w:val="20"/>
              </w:rPr>
              <w:t>The course instructions articulate or link to a clear description of the technical support offered and how to access it.</w:t>
            </w:r>
          </w:p>
          <w:p w14:paraId="2FEBC75B" w14:textId="77777777" w:rsidR="00AA0E2A" w:rsidRDefault="00AA0E2A" w:rsidP="00B13A36"/>
        </w:tc>
        <w:tc>
          <w:tcPr>
            <w:tcW w:w="1109" w:type="dxa"/>
          </w:tcPr>
          <w:p w14:paraId="034BB16C" w14:textId="77777777" w:rsidR="00AA0E2A" w:rsidRDefault="00AA0E2A" w:rsidP="00B13A36"/>
        </w:tc>
        <w:tc>
          <w:tcPr>
            <w:tcW w:w="1260" w:type="dxa"/>
          </w:tcPr>
          <w:p w14:paraId="09E23B07" w14:textId="77777777" w:rsidR="00AA0E2A" w:rsidRDefault="00AA0E2A" w:rsidP="00B13A36"/>
        </w:tc>
        <w:tc>
          <w:tcPr>
            <w:tcW w:w="1327" w:type="dxa"/>
          </w:tcPr>
          <w:p w14:paraId="46FF3743" w14:textId="77777777" w:rsidR="00AA0E2A" w:rsidRDefault="00AA0E2A" w:rsidP="00B13A36"/>
        </w:tc>
        <w:tc>
          <w:tcPr>
            <w:tcW w:w="8814" w:type="dxa"/>
          </w:tcPr>
          <w:p w14:paraId="47F7ED41" w14:textId="77777777" w:rsidR="00AA0E2A" w:rsidRDefault="00AA0E2A" w:rsidP="00B13A36"/>
        </w:tc>
      </w:tr>
      <w:tr w:rsidR="00AA0E2A" w14:paraId="44D4EEDE" w14:textId="77777777" w:rsidTr="00162F0E">
        <w:tc>
          <w:tcPr>
            <w:tcW w:w="4698" w:type="dxa"/>
          </w:tcPr>
          <w:p w14:paraId="2E75A040" w14:textId="6E6626F6" w:rsidR="00AA0E2A" w:rsidRPr="00162F0E" w:rsidRDefault="00AA0E2A" w:rsidP="00162F0E">
            <w:pPr>
              <w:pStyle w:val="ListParagraph"/>
              <w:numPr>
                <w:ilvl w:val="0"/>
                <w:numId w:val="3"/>
              </w:numPr>
              <w:rPr>
                <w:sz w:val="20"/>
                <w:szCs w:val="20"/>
              </w:rPr>
            </w:pPr>
            <w:r w:rsidRPr="00162F0E">
              <w:rPr>
                <w:sz w:val="20"/>
                <w:szCs w:val="20"/>
              </w:rPr>
              <w:t>Course instructions articulate or link to the institution’s accessibility policies and services.</w:t>
            </w:r>
          </w:p>
          <w:p w14:paraId="71917BE2" w14:textId="77777777" w:rsidR="00AA0E2A" w:rsidRPr="00E469B3" w:rsidRDefault="00AA0E2A" w:rsidP="00B13A36">
            <w:pPr>
              <w:rPr>
                <w:sz w:val="20"/>
                <w:szCs w:val="20"/>
              </w:rPr>
            </w:pPr>
          </w:p>
        </w:tc>
        <w:tc>
          <w:tcPr>
            <w:tcW w:w="1109" w:type="dxa"/>
          </w:tcPr>
          <w:p w14:paraId="754A75A0" w14:textId="77777777" w:rsidR="00AA0E2A" w:rsidRDefault="00AA0E2A" w:rsidP="00B13A36"/>
        </w:tc>
        <w:tc>
          <w:tcPr>
            <w:tcW w:w="1260" w:type="dxa"/>
          </w:tcPr>
          <w:p w14:paraId="448F63F3" w14:textId="77777777" w:rsidR="00AA0E2A" w:rsidRDefault="00AA0E2A" w:rsidP="00B13A36"/>
        </w:tc>
        <w:tc>
          <w:tcPr>
            <w:tcW w:w="1327" w:type="dxa"/>
          </w:tcPr>
          <w:p w14:paraId="4BFA3F9D" w14:textId="77777777" w:rsidR="00AA0E2A" w:rsidRDefault="00AA0E2A" w:rsidP="00B13A36"/>
        </w:tc>
        <w:tc>
          <w:tcPr>
            <w:tcW w:w="8814" w:type="dxa"/>
          </w:tcPr>
          <w:p w14:paraId="5A6737CF" w14:textId="77777777" w:rsidR="00AA0E2A" w:rsidRDefault="00AA0E2A" w:rsidP="00B13A36"/>
        </w:tc>
      </w:tr>
      <w:tr w:rsidR="00AA0E2A" w14:paraId="50B4EED9" w14:textId="77777777" w:rsidTr="00162F0E">
        <w:tc>
          <w:tcPr>
            <w:tcW w:w="4698" w:type="dxa"/>
          </w:tcPr>
          <w:p w14:paraId="37DC9F5A" w14:textId="5507F4F1" w:rsidR="00AA0E2A" w:rsidRPr="00162F0E" w:rsidRDefault="00AA0E2A" w:rsidP="00162F0E">
            <w:pPr>
              <w:pStyle w:val="ListParagraph"/>
              <w:numPr>
                <w:ilvl w:val="0"/>
                <w:numId w:val="3"/>
              </w:numPr>
              <w:rPr>
                <w:sz w:val="20"/>
                <w:szCs w:val="20"/>
              </w:rPr>
            </w:pPr>
            <w:r w:rsidRPr="00162F0E">
              <w:rPr>
                <w:sz w:val="20"/>
                <w:szCs w:val="20"/>
              </w:rPr>
              <w:t>Course instructions articulate or link to an explanation of how the institution’s academic support services and resources can help students succeed in the course and how students can access the services.</w:t>
            </w:r>
          </w:p>
          <w:p w14:paraId="25DA1E55" w14:textId="77777777" w:rsidR="00AA0E2A" w:rsidRDefault="00AA0E2A" w:rsidP="00B13A36"/>
        </w:tc>
        <w:tc>
          <w:tcPr>
            <w:tcW w:w="1109" w:type="dxa"/>
          </w:tcPr>
          <w:p w14:paraId="3BCA662A" w14:textId="77777777" w:rsidR="00AA0E2A" w:rsidRDefault="00AA0E2A" w:rsidP="00B13A36"/>
        </w:tc>
        <w:tc>
          <w:tcPr>
            <w:tcW w:w="1260" w:type="dxa"/>
          </w:tcPr>
          <w:p w14:paraId="5EBE3771" w14:textId="77777777" w:rsidR="00AA0E2A" w:rsidRDefault="00AA0E2A" w:rsidP="00B13A36"/>
        </w:tc>
        <w:tc>
          <w:tcPr>
            <w:tcW w:w="1327" w:type="dxa"/>
          </w:tcPr>
          <w:p w14:paraId="4261D041" w14:textId="77777777" w:rsidR="00AA0E2A" w:rsidRDefault="00AA0E2A" w:rsidP="00B13A36"/>
        </w:tc>
        <w:tc>
          <w:tcPr>
            <w:tcW w:w="8814" w:type="dxa"/>
          </w:tcPr>
          <w:p w14:paraId="3D7F1E29" w14:textId="77777777" w:rsidR="00AA0E2A" w:rsidRDefault="00AA0E2A" w:rsidP="00B13A36"/>
        </w:tc>
      </w:tr>
      <w:tr w:rsidR="00AA0E2A" w14:paraId="14F37376" w14:textId="77777777" w:rsidTr="00162F0E">
        <w:tc>
          <w:tcPr>
            <w:tcW w:w="4698" w:type="dxa"/>
          </w:tcPr>
          <w:p w14:paraId="483BE082" w14:textId="47567A82" w:rsidR="00AA0E2A" w:rsidRPr="00162F0E" w:rsidRDefault="00AA0E2A" w:rsidP="00162F0E">
            <w:pPr>
              <w:pStyle w:val="ListParagraph"/>
              <w:numPr>
                <w:ilvl w:val="0"/>
                <w:numId w:val="3"/>
              </w:numPr>
              <w:rPr>
                <w:sz w:val="20"/>
                <w:szCs w:val="20"/>
              </w:rPr>
            </w:pPr>
            <w:r w:rsidRPr="00162F0E">
              <w:rPr>
                <w:sz w:val="20"/>
                <w:szCs w:val="20"/>
              </w:rPr>
              <w:t>Course instructions articulate or link to an explanation of how the instit</w:t>
            </w:r>
            <w:r w:rsidR="00924BDC" w:rsidRPr="00162F0E">
              <w:rPr>
                <w:sz w:val="20"/>
                <w:szCs w:val="20"/>
              </w:rPr>
              <w:t xml:space="preserve">ution’s </w:t>
            </w:r>
            <w:r w:rsidRPr="00162F0E">
              <w:rPr>
                <w:sz w:val="20"/>
                <w:szCs w:val="20"/>
              </w:rPr>
              <w:t>student support services can help students succeed and how students can</w:t>
            </w:r>
            <w:r w:rsidR="009016D3" w:rsidRPr="00162F0E">
              <w:rPr>
                <w:sz w:val="20"/>
                <w:szCs w:val="20"/>
              </w:rPr>
              <w:t xml:space="preserve"> access these services</w:t>
            </w:r>
            <w:r w:rsidRPr="00162F0E">
              <w:rPr>
                <w:sz w:val="20"/>
                <w:szCs w:val="20"/>
              </w:rPr>
              <w:t>.</w:t>
            </w:r>
            <w:r w:rsidRPr="00162F0E">
              <w:rPr>
                <w:sz w:val="20"/>
                <w:szCs w:val="20"/>
              </w:rPr>
              <w:br/>
            </w:r>
          </w:p>
        </w:tc>
        <w:tc>
          <w:tcPr>
            <w:tcW w:w="1109" w:type="dxa"/>
          </w:tcPr>
          <w:p w14:paraId="3C20C7B9" w14:textId="77777777" w:rsidR="00AA0E2A" w:rsidRDefault="00AA0E2A" w:rsidP="00B13A36"/>
        </w:tc>
        <w:tc>
          <w:tcPr>
            <w:tcW w:w="1260" w:type="dxa"/>
          </w:tcPr>
          <w:p w14:paraId="509ADEA5" w14:textId="77777777" w:rsidR="00AA0E2A" w:rsidRDefault="00AA0E2A" w:rsidP="00B13A36"/>
        </w:tc>
        <w:tc>
          <w:tcPr>
            <w:tcW w:w="1327" w:type="dxa"/>
          </w:tcPr>
          <w:p w14:paraId="605C42FF" w14:textId="77777777" w:rsidR="00AA0E2A" w:rsidRDefault="00AA0E2A" w:rsidP="00B13A36"/>
        </w:tc>
        <w:tc>
          <w:tcPr>
            <w:tcW w:w="8814" w:type="dxa"/>
          </w:tcPr>
          <w:p w14:paraId="4E830F6C" w14:textId="77777777" w:rsidR="00AA0E2A" w:rsidRDefault="00AA0E2A" w:rsidP="00B13A36"/>
        </w:tc>
      </w:tr>
    </w:tbl>
    <w:p w14:paraId="309578AA" w14:textId="77777777" w:rsidR="00AA0E2A" w:rsidRDefault="00AA0E2A" w:rsidP="001A060A"/>
    <w:p w14:paraId="68A48471" w14:textId="77777777" w:rsidR="002E521A" w:rsidRDefault="002E521A" w:rsidP="001A060A"/>
    <w:p w14:paraId="003E2FBB" w14:textId="74AA4C72" w:rsidR="002E521A" w:rsidRDefault="002E521A" w:rsidP="002E521A">
      <w:pPr>
        <w:rPr>
          <w:b/>
        </w:rPr>
      </w:pPr>
      <w:r>
        <w:rPr>
          <w:b/>
        </w:rPr>
        <w:t>Reviewer Information</w:t>
      </w:r>
      <w:r w:rsidRPr="00771C7C">
        <w:rPr>
          <w:b/>
        </w:rPr>
        <w:t xml:space="preserve">  </w:t>
      </w:r>
    </w:p>
    <w:p w14:paraId="6CB9C5E3" w14:textId="77777777" w:rsidR="002E521A" w:rsidRPr="009A5F2E" w:rsidRDefault="002E521A" w:rsidP="002E521A">
      <w:pPr>
        <w:pStyle w:val="ListParagraph"/>
        <w:numPr>
          <w:ilvl w:val="0"/>
          <w:numId w:val="2"/>
        </w:numPr>
        <w:rPr>
          <w:b/>
        </w:rPr>
      </w:pPr>
      <w:r w:rsidRPr="009A5F2E">
        <w:t>Date Reviewed:</w:t>
      </w:r>
    </w:p>
    <w:p w14:paraId="2DE99512" w14:textId="77777777" w:rsidR="002E521A" w:rsidRDefault="002E521A" w:rsidP="002E521A">
      <w:pPr>
        <w:pStyle w:val="ListParagraph"/>
        <w:numPr>
          <w:ilvl w:val="0"/>
          <w:numId w:val="2"/>
        </w:numPr>
      </w:pPr>
      <w:r>
        <w:t>Reviewed By</w:t>
      </w:r>
      <w:r w:rsidRPr="009A5F2E">
        <w:t>:</w:t>
      </w:r>
    </w:p>
    <w:p w14:paraId="0A79DDC9" w14:textId="6B353E77" w:rsidR="002E521A" w:rsidRPr="001A060A" w:rsidRDefault="002E521A" w:rsidP="001A060A">
      <w:pPr>
        <w:pStyle w:val="ListParagraph"/>
        <w:numPr>
          <w:ilvl w:val="0"/>
          <w:numId w:val="2"/>
        </w:numPr>
      </w:pPr>
      <w:r>
        <w:t>General Comments:</w:t>
      </w:r>
    </w:p>
    <w:sectPr w:rsidR="002E521A" w:rsidRPr="001A060A" w:rsidSect="001A060A">
      <w:pgSz w:w="2016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A3D84" w14:textId="77777777" w:rsidR="00162F0E" w:rsidRDefault="00162F0E" w:rsidP="00162F0E">
      <w:r>
        <w:separator/>
      </w:r>
    </w:p>
  </w:endnote>
  <w:endnote w:type="continuationSeparator" w:id="0">
    <w:p w14:paraId="5BA3EB71" w14:textId="77777777" w:rsidR="00162F0E" w:rsidRDefault="00162F0E" w:rsidP="0016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2689C" w14:textId="77777777" w:rsidR="00162F0E" w:rsidRDefault="00162F0E" w:rsidP="00162F0E">
      <w:r>
        <w:separator/>
      </w:r>
    </w:p>
  </w:footnote>
  <w:footnote w:type="continuationSeparator" w:id="0">
    <w:p w14:paraId="22188235" w14:textId="77777777" w:rsidR="00162F0E" w:rsidRDefault="00162F0E" w:rsidP="00162F0E">
      <w:r>
        <w:continuationSeparator/>
      </w:r>
    </w:p>
  </w:footnote>
  <w:footnote w:id="1">
    <w:p w14:paraId="194DE600" w14:textId="374A4335" w:rsidR="00162F0E" w:rsidRDefault="00162F0E">
      <w:pPr>
        <w:pStyle w:val="FootnoteText"/>
      </w:pPr>
      <w:r>
        <w:rPr>
          <w:rStyle w:val="FootnoteReference"/>
        </w:rPr>
        <w:footnoteRef/>
      </w:r>
      <w:r>
        <w:t xml:space="preserve"> See the Quality Matters Rubric at </w:t>
      </w:r>
      <w:hyperlink r:id="rId1" w:history="1">
        <w:r w:rsidRPr="00AB6476">
          <w:rPr>
            <w:rStyle w:val="Hyperlink"/>
          </w:rPr>
          <w:t>https://www.qualitymatters.org/rubric</w:t>
        </w:r>
      </w:hyperlink>
    </w:p>
    <w:p w14:paraId="13D3F335" w14:textId="77777777" w:rsidR="00162F0E" w:rsidRDefault="00162F0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49C"/>
    <w:multiLevelType w:val="hybridMultilevel"/>
    <w:tmpl w:val="A4B8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5E13C1"/>
    <w:multiLevelType w:val="hybridMultilevel"/>
    <w:tmpl w:val="FDBC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BB48E4"/>
    <w:multiLevelType w:val="hybridMultilevel"/>
    <w:tmpl w:val="087A7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0A"/>
    <w:rsid w:val="00162F0E"/>
    <w:rsid w:val="001A060A"/>
    <w:rsid w:val="002E521A"/>
    <w:rsid w:val="004565AC"/>
    <w:rsid w:val="00514D4F"/>
    <w:rsid w:val="005C4567"/>
    <w:rsid w:val="00703E3A"/>
    <w:rsid w:val="00725790"/>
    <w:rsid w:val="00814385"/>
    <w:rsid w:val="008E2DAC"/>
    <w:rsid w:val="009016D3"/>
    <w:rsid w:val="00924BDC"/>
    <w:rsid w:val="009333B3"/>
    <w:rsid w:val="009B55C6"/>
    <w:rsid w:val="00A6545D"/>
    <w:rsid w:val="00A733E0"/>
    <w:rsid w:val="00A93AEF"/>
    <w:rsid w:val="00AA0E2A"/>
    <w:rsid w:val="00B13A36"/>
    <w:rsid w:val="00C61AA4"/>
    <w:rsid w:val="00C70D77"/>
    <w:rsid w:val="00DA4BAA"/>
    <w:rsid w:val="00E46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149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545D"/>
    <w:pPr>
      <w:ind w:left="720"/>
      <w:contextualSpacing/>
    </w:pPr>
  </w:style>
  <w:style w:type="paragraph" w:styleId="FootnoteText">
    <w:name w:val="footnote text"/>
    <w:basedOn w:val="Normal"/>
    <w:link w:val="FootnoteTextChar"/>
    <w:uiPriority w:val="99"/>
    <w:semiHidden/>
    <w:unhideWhenUsed/>
    <w:rsid w:val="00162F0E"/>
    <w:rPr>
      <w:sz w:val="20"/>
      <w:szCs w:val="20"/>
    </w:rPr>
  </w:style>
  <w:style w:type="character" w:customStyle="1" w:styleId="FootnoteTextChar">
    <w:name w:val="Footnote Text Char"/>
    <w:basedOn w:val="DefaultParagraphFont"/>
    <w:link w:val="FootnoteText"/>
    <w:uiPriority w:val="99"/>
    <w:semiHidden/>
    <w:rsid w:val="00162F0E"/>
    <w:rPr>
      <w:sz w:val="20"/>
      <w:szCs w:val="20"/>
    </w:rPr>
  </w:style>
  <w:style w:type="character" w:styleId="FootnoteReference">
    <w:name w:val="footnote reference"/>
    <w:basedOn w:val="DefaultParagraphFont"/>
    <w:uiPriority w:val="99"/>
    <w:semiHidden/>
    <w:unhideWhenUsed/>
    <w:rsid w:val="00162F0E"/>
    <w:rPr>
      <w:vertAlign w:val="superscript"/>
    </w:rPr>
  </w:style>
  <w:style w:type="character" w:styleId="Hyperlink">
    <w:name w:val="Hyperlink"/>
    <w:basedOn w:val="DefaultParagraphFont"/>
    <w:uiPriority w:val="99"/>
    <w:unhideWhenUsed/>
    <w:rsid w:val="00162F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545D"/>
    <w:pPr>
      <w:ind w:left="720"/>
      <w:contextualSpacing/>
    </w:pPr>
  </w:style>
  <w:style w:type="paragraph" w:styleId="FootnoteText">
    <w:name w:val="footnote text"/>
    <w:basedOn w:val="Normal"/>
    <w:link w:val="FootnoteTextChar"/>
    <w:uiPriority w:val="99"/>
    <w:semiHidden/>
    <w:unhideWhenUsed/>
    <w:rsid w:val="00162F0E"/>
    <w:rPr>
      <w:sz w:val="20"/>
      <w:szCs w:val="20"/>
    </w:rPr>
  </w:style>
  <w:style w:type="character" w:customStyle="1" w:styleId="FootnoteTextChar">
    <w:name w:val="Footnote Text Char"/>
    <w:basedOn w:val="DefaultParagraphFont"/>
    <w:link w:val="FootnoteText"/>
    <w:uiPriority w:val="99"/>
    <w:semiHidden/>
    <w:rsid w:val="00162F0E"/>
    <w:rPr>
      <w:sz w:val="20"/>
      <w:szCs w:val="20"/>
    </w:rPr>
  </w:style>
  <w:style w:type="character" w:styleId="FootnoteReference">
    <w:name w:val="footnote reference"/>
    <w:basedOn w:val="DefaultParagraphFont"/>
    <w:uiPriority w:val="99"/>
    <w:semiHidden/>
    <w:unhideWhenUsed/>
    <w:rsid w:val="00162F0E"/>
    <w:rPr>
      <w:vertAlign w:val="superscript"/>
    </w:rPr>
  </w:style>
  <w:style w:type="character" w:styleId="Hyperlink">
    <w:name w:val="Hyperlink"/>
    <w:basedOn w:val="DefaultParagraphFont"/>
    <w:uiPriority w:val="99"/>
    <w:unhideWhenUsed/>
    <w:rsid w:val="00162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qualitymatters.org/rubr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8D55E-13E7-4D2D-8B0C-4F09A2BF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487</Words>
  <Characters>2779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Dagefoerde, Diane</cp:lastModifiedBy>
  <cp:revision>2</cp:revision>
  <dcterms:created xsi:type="dcterms:W3CDTF">2013-08-27T20:28:00Z</dcterms:created>
  <dcterms:modified xsi:type="dcterms:W3CDTF">2013-08-27T20:28:00Z</dcterms:modified>
</cp:coreProperties>
</file>